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67" w:rsidRDefault="006C2767" w:rsidP="006C2767">
      <w:pPr>
        <w:jc w:val="center"/>
        <w:rPr>
          <w:lang w:val="tr-TR"/>
        </w:rPr>
      </w:pPr>
      <w:proofErr w:type="gramStart"/>
      <w:r>
        <w:rPr>
          <w:lang w:val="tr-TR"/>
        </w:rPr>
        <w:t xml:space="preserve">Çıraklık, </w:t>
      </w:r>
      <w:r w:rsidR="004E3937">
        <w:rPr>
          <w:lang w:val="tr-TR"/>
        </w:rPr>
        <w:t xml:space="preserve"> ve</w:t>
      </w:r>
      <w:proofErr w:type="gramEnd"/>
      <w:r w:rsidR="004E3937">
        <w:rPr>
          <w:lang w:val="tr-TR"/>
        </w:rPr>
        <w:t xml:space="preserve"> </w:t>
      </w:r>
      <w:r>
        <w:rPr>
          <w:lang w:val="tr-TR"/>
        </w:rPr>
        <w:t>Meslek Eğitimi ile  ilgili Kurallar</w:t>
      </w:r>
    </w:p>
    <w:p w:rsidR="006C2767" w:rsidRDefault="006C2767"/>
    <w:p w:rsidR="006C2767" w:rsidRDefault="006C2767"/>
    <w:tbl>
      <w:tblPr>
        <w:tblW w:w="94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1350"/>
        <w:gridCol w:w="108"/>
        <w:gridCol w:w="432"/>
        <w:gridCol w:w="108"/>
        <w:gridCol w:w="630"/>
        <w:gridCol w:w="630"/>
        <w:gridCol w:w="5956"/>
        <w:gridCol w:w="108"/>
      </w:tblGrid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Çıraklık Koşulları</w:t>
            </w: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7.</w:t>
            </w: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(1)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Çıraklık için (2)'</w:t>
            </w:r>
            <w:proofErr w:type="spellStart"/>
            <w:r>
              <w:rPr>
                <w:lang w:val="tr-TR"/>
              </w:rPr>
              <w:t>nci</w:t>
            </w:r>
            <w:proofErr w:type="spellEnd"/>
            <w:r>
              <w:rPr>
                <w:lang w:val="tr-TR"/>
              </w:rPr>
              <w:t xml:space="preserve"> fıkra kuralları saklı kalmak koşuluyla </w:t>
            </w:r>
            <w:proofErr w:type="gramStart"/>
            <w:r>
              <w:rPr>
                <w:lang w:val="tr-TR"/>
              </w:rPr>
              <w:t>aşağıda  öngörülen</w:t>
            </w:r>
            <w:proofErr w:type="gramEnd"/>
            <w:r>
              <w:rPr>
                <w:lang w:val="tr-TR"/>
              </w:rPr>
              <w:t xml:space="preserve"> koşullar aranır :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(A)</w:t>
            </w:r>
          </w:p>
        </w:tc>
        <w:tc>
          <w:tcPr>
            <w:tcW w:w="6064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Zorunlu </w:t>
            </w:r>
            <w:proofErr w:type="gramStart"/>
            <w:r>
              <w:rPr>
                <w:lang w:val="tr-TR"/>
              </w:rPr>
              <w:t>eğitim  yaşını</w:t>
            </w:r>
            <w:proofErr w:type="gramEnd"/>
            <w:r>
              <w:rPr>
                <w:lang w:val="tr-TR"/>
              </w:rPr>
              <w:t xml:space="preserve"> tamamlamış  ve on sekiz yaşından gün almamış olmak;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(B)</w:t>
            </w:r>
          </w:p>
        </w:tc>
        <w:tc>
          <w:tcPr>
            <w:tcW w:w="6064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Bünyesinin  ve</w:t>
            </w:r>
            <w:proofErr w:type="gramEnd"/>
            <w:r>
              <w:rPr>
                <w:lang w:val="tr-TR"/>
              </w:rPr>
              <w:t xml:space="preserve"> Sağlık durumunun gireceği mesleğin gerektirdiği işleri yapmaya uygun olduğunu bir raporla belgelendirmiş olmak.</w:t>
            </w:r>
          </w:p>
          <w:p w:rsidR="004E3937" w:rsidRDefault="004E3937" w:rsidP="00FF6C57">
            <w:pPr>
              <w:rPr>
                <w:lang w:val="tr-TR"/>
              </w:rPr>
            </w:pP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(2)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Ağır, tehlikeli veya özellik </w:t>
            </w:r>
            <w:proofErr w:type="spellStart"/>
            <w:r>
              <w:rPr>
                <w:lang w:val="tr-TR"/>
              </w:rPr>
              <w:t>arzeden</w:t>
            </w:r>
            <w:proofErr w:type="spellEnd"/>
            <w:r>
              <w:rPr>
                <w:lang w:val="tr-TR"/>
              </w:rPr>
              <w:t xml:space="preserve"> mesleklere alınacak çırakların öğrenim ve yaş durumu, çalışma işleri ile görevli bakanlığın görüşü alınarak Bakanlıkça belirlenir.</w:t>
            </w:r>
          </w:p>
          <w:p w:rsidR="004E3937" w:rsidRDefault="004E3937" w:rsidP="00FF6C57">
            <w:pPr>
              <w:rPr>
                <w:lang w:val="tr-TR"/>
              </w:rPr>
            </w:pP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Çırakların Statüleri</w:t>
            </w: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8.</w:t>
            </w:r>
          </w:p>
        </w:tc>
        <w:tc>
          <w:tcPr>
            <w:tcW w:w="7324" w:type="dxa"/>
            <w:gridSpan w:val="4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Çıraklar, öğrenci statüsünde olup öğrencilik haklarından yararlanırlar ve bu Yasa amaçları bakımından işyerinde çalışan işçi sayısına dahil edilmezler.</w:t>
            </w:r>
          </w:p>
          <w:p w:rsidR="004E3937" w:rsidRDefault="004E3937" w:rsidP="00FF6C57">
            <w:pPr>
              <w:rPr>
                <w:lang w:val="tr-TR"/>
              </w:rPr>
            </w:pPr>
          </w:p>
          <w:p w:rsidR="004E3937" w:rsidRDefault="004E3937" w:rsidP="00FF6C57">
            <w:pPr>
              <w:rPr>
                <w:lang w:val="tr-TR"/>
              </w:rPr>
            </w:pPr>
            <w:bookmarkStart w:id="0" w:name="_GoBack"/>
            <w:bookmarkEnd w:id="0"/>
          </w:p>
          <w:p w:rsidR="004E3937" w:rsidRDefault="004E3937" w:rsidP="00FF6C57">
            <w:pPr>
              <w:rPr>
                <w:lang w:val="tr-TR"/>
              </w:rPr>
            </w:pP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Çırakların eğitimi.</w:t>
            </w: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9.</w:t>
            </w: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(1)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Çıraklar, mesleğin özelliğine göre, haftada altı saatten az olmamak üzere, on iki saate kadar genel ve </w:t>
            </w:r>
            <w:proofErr w:type="gramStart"/>
            <w:r>
              <w:rPr>
                <w:lang w:val="tr-TR"/>
              </w:rPr>
              <w:t>mesleki  teorik</w:t>
            </w:r>
            <w:proofErr w:type="gramEnd"/>
            <w:r>
              <w:rPr>
                <w:lang w:val="tr-TR"/>
              </w:rPr>
              <w:t xml:space="preserve"> eğitim görürler.</w:t>
            </w:r>
          </w:p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Bu eğitime katılmaları için çıraklara çalıştıkları işyerlerince ücretli izin verilir.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(2)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Çıraklar, pratik eğitimlerini, işyerlerinde veya çıraklık eğitim merkezlerinde; teorik eğitimlerini ise, eğitim kurumlarında veya Bakanlıkça uygun görülen eğitime elverişli işyerlerindeki eğitim ünitelerinde yaparlar.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(3)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Teorik ve pratik eğitim, birbirlerini tamamlayacak şekilde plânlanır ve yürütülür.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(4)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Pratik eğitim, hazırlanmış eğitim programlarına göre, işyerinin ve mesleğin özelliklerine uygun olarak Teknik Öğretim Görevlisinin (öğretici Usta) gözetiminde yapılır.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(5)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Çırakların eğitiminin esas ve usulleri tüzükle saptanır.</w:t>
            </w:r>
          </w:p>
          <w:p w:rsidR="004E3937" w:rsidRDefault="004E3937" w:rsidP="00FF6C57">
            <w:pPr>
              <w:rPr>
                <w:lang w:val="tr-TR"/>
              </w:rPr>
            </w:pP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Çıraklık Sözleşmesi</w:t>
            </w: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10.</w:t>
            </w: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(1)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Bakanlıkça uygun görülecek işyerleri ile meslek dallarında on sekiz yaşından gün almamış kişiler, </w:t>
            </w:r>
            <w:proofErr w:type="gramStart"/>
            <w:r>
              <w:rPr>
                <w:lang w:val="tr-TR"/>
              </w:rPr>
              <w:t>çıraklık  sözleşmesi</w:t>
            </w:r>
            <w:proofErr w:type="gramEnd"/>
            <w:r>
              <w:rPr>
                <w:lang w:val="tr-TR"/>
              </w:rPr>
              <w:t xml:space="preserve">  yapılmadan çalıştırılamazlar.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(2)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İşyeri sahibi, çırağı çalıştırmaya başlamadan önce, çırağın velisi veya vasisi veya çırak reşit ise, kendisi ile çıraklık sözleşmesi yapmak zorundadır.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(3)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Çıraklık sözleşmesi; Çırağın sözleşme süresi içinde reşit olması halinde, çırağın rızasıyla devam eder;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(4)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İşyeri sahibinin değişmesi halinde, yeni işyeri sahibi aynı mesleği sürdürüyorsa ve rızasıyla Çıraklık Sözleşmesi devam eder; aynı mesleği sürdürmüyorsa sözleşme feshedilir.  Fesih halinde çırağın önceki çalışmaları geçerli olur ve çırak, yeni yapacağı çıraklık sözleşmesi ile çıraklık </w:t>
            </w:r>
            <w:proofErr w:type="gramStart"/>
            <w:r>
              <w:rPr>
                <w:lang w:val="tr-TR"/>
              </w:rPr>
              <w:t>statüsünü  devam</w:t>
            </w:r>
            <w:proofErr w:type="gramEnd"/>
            <w:r>
              <w:rPr>
                <w:lang w:val="tr-TR"/>
              </w:rPr>
              <w:t xml:space="preserve"> ettirerek çıraklık süresini ve eğitimini tamamlar.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(5)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Çıraklık  sözleşmesi</w:t>
            </w:r>
            <w:proofErr w:type="gramEnd"/>
            <w:r>
              <w:rPr>
                <w:lang w:val="tr-TR"/>
              </w:rPr>
              <w:t xml:space="preserve">  yapılacak  işyerlerinin özellikleri ve  seçilmesi ile ilgili esaslar  bir  tüzükle saptanır.</w:t>
            </w:r>
          </w:p>
          <w:p w:rsidR="004E3937" w:rsidRDefault="004E3937" w:rsidP="00FF6C57">
            <w:pPr>
              <w:rPr>
                <w:lang w:val="tr-TR"/>
              </w:rPr>
            </w:pP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Çıraklığa başlama, çıraklık süresi ve bölüm </w:t>
            </w: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11.</w:t>
            </w: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(1)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Çıraklığa bir adaylık dönemi ile başlanır. Bu dönem, en az </w:t>
            </w:r>
            <w:proofErr w:type="spellStart"/>
            <w:r>
              <w:rPr>
                <w:lang w:val="tr-TR"/>
              </w:rPr>
              <w:t>onbeş</w:t>
            </w:r>
            <w:proofErr w:type="spellEnd"/>
            <w:r>
              <w:rPr>
                <w:lang w:val="tr-TR"/>
              </w:rPr>
              <w:t xml:space="preserve">, en çok otuz gündür. Bu   dönemde kişi, kendi isteği veya Teknik Öğretim </w:t>
            </w:r>
            <w:proofErr w:type="gramStart"/>
            <w:r>
              <w:rPr>
                <w:lang w:val="tr-TR"/>
              </w:rPr>
              <w:t>Görevlisi  (</w:t>
            </w:r>
            <w:proofErr w:type="gramEnd"/>
            <w:r>
              <w:rPr>
                <w:lang w:val="tr-TR"/>
              </w:rPr>
              <w:t xml:space="preserve">Öğretici Usta) ve velisinin kararı ile bölümünü değiştirebilme veya çıraklıktan ayrılma  hakkına sahiptir.  Ancak bir çırak, en fazla </w:t>
            </w:r>
            <w:proofErr w:type="gramStart"/>
            <w:r>
              <w:rPr>
                <w:lang w:val="tr-TR"/>
              </w:rPr>
              <w:t>üç  defa</w:t>
            </w:r>
            <w:proofErr w:type="gramEnd"/>
            <w:r>
              <w:rPr>
                <w:lang w:val="tr-TR"/>
              </w:rPr>
              <w:t xml:space="preserve"> bölüm değiştirebilir.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değiştirme</w:t>
            </w:r>
            <w:proofErr w:type="gramEnd"/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(2)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Adaylık dönemi çıraklık eğitimi süresine dahil olup ücretlidir.</w:t>
            </w:r>
          </w:p>
        </w:tc>
      </w:tr>
      <w:tr w:rsidR="004E3937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  <w:p w:rsidR="004E3937" w:rsidRDefault="004E3937" w:rsidP="00FF6C57">
            <w:pPr>
              <w:rPr>
                <w:lang w:val="tr-TR"/>
              </w:rPr>
            </w:pPr>
          </w:p>
          <w:p w:rsidR="004E3937" w:rsidRDefault="004E3937" w:rsidP="00FF6C57">
            <w:pPr>
              <w:rPr>
                <w:lang w:val="tr-TR"/>
              </w:rPr>
            </w:pPr>
          </w:p>
          <w:p w:rsidR="004E3937" w:rsidRDefault="004E3937" w:rsidP="00FF6C57">
            <w:pPr>
              <w:rPr>
                <w:lang w:val="tr-TR"/>
              </w:rPr>
            </w:pPr>
          </w:p>
          <w:p w:rsidR="004E3937" w:rsidRDefault="004E3937" w:rsidP="00FF6C57">
            <w:pPr>
              <w:rPr>
                <w:lang w:val="tr-TR"/>
              </w:rPr>
            </w:pPr>
          </w:p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4E3937" w:rsidRDefault="004E3937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>(3)</w:t>
            </w:r>
          </w:p>
        </w:tc>
        <w:tc>
          <w:tcPr>
            <w:tcW w:w="6694" w:type="dxa"/>
            <w:gridSpan w:val="3"/>
          </w:tcPr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Çıraklık süresi </w:t>
            </w:r>
            <w:proofErr w:type="gramStart"/>
            <w:r>
              <w:rPr>
                <w:lang w:val="tr-TR"/>
              </w:rPr>
              <w:t>en  çok</w:t>
            </w:r>
            <w:proofErr w:type="gramEnd"/>
            <w:r>
              <w:rPr>
                <w:lang w:val="tr-TR"/>
              </w:rPr>
              <w:t xml:space="preserve"> dört  yıldır. </w:t>
            </w:r>
            <w:proofErr w:type="gramStart"/>
            <w:r>
              <w:rPr>
                <w:lang w:val="tr-TR"/>
              </w:rPr>
              <w:t>Bu  süre</w:t>
            </w:r>
            <w:proofErr w:type="gramEnd"/>
            <w:r>
              <w:rPr>
                <w:lang w:val="tr-TR"/>
              </w:rPr>
              <w:t>, mesleğin özelliğine  göre  ilgili kuruluşların görüşü alınarak  Bakanlıkça  belirlenir.  Bu süre kesintisiz olarak devam eder. Yıllık izin ve hastalık izni dışındaki devamsızlıklar çıraklık süresine eklenir.</w:t>
            </w:r>
          </w:p>
          <w:p w:rsidR="004E3937" w:rsidRDefault="004E3937" w:rsidP="00FF6C57">
            <w:pPr>
              <w:rPr>
                <w:lang w:val="tr-TR"/>
              </w:rPr>
            </w:pPr>
            <w:r>
              <w:rPr>
                <w:lang w:val="tr-TR"/>
              </w:rPr>
              <w:tab/>
              <w:t xml:space="preserve">Hangi </w:t>
            </w:r>
            <w:proofErr w:type="gramStart"/>
            <w:r>
              <w:rPr>
                <w:lang w:val="tr-TR"/>
              </w:rPr>
              <w:t>hallerin  devamsızlıktan</w:t>
            </w:r>
            <w:proofErr w:type="gramEnd"/>
            <w:r>
              <w:rPr>
                <w:lang w:val="tr-TR"/>
              </w:rPr>
              <w:t xml:space="preserve"> sayılacağı ve çıraklık süresine ekleneceği çıkarılacak tüzükle saptanır.</w:t>
            </w:r>
          </w:p>
          <w:p w:rsidR="004E3937" w:rsidRDefault="004E3937" w:rsidP="00FF6C57">
            <w:pPr>
              <w:rPr>
                <w:lang w:val="tr-TR"/>
              </w:rPr>
            </w:pPr>
          </w:p>
          <w:p w:rsidR="004E3937" w:rsidRDefault="004E3937" w:rsidP="00FF6C57">
            <w:pPr>
              <w:rPr>
                <w:lang w:val="tr-TR"/>
              </w:rPr>
            </w:pPr>
          </w:p>
          <w:p w:rsidR="004E3937" w:rsidRDefault="004E3937" w:rsidP="00FF6C57">
            <w:pPr>
              <w:rPr>
                <w:lang w:val="tr-TR"/>
              </w:rPr>
            </w:pPr>
          </w:p>
          <w:p w:rsidR="004E3937" w:rsidRDefault="004E3937" w:rsidP="00FF6C57">
            <w:pPr>
              <w:rPr>
                <w:lang w:val="tr-TR"/>
              </w:rPr>
            </w:pPr>
          </w:p>
        </w:tc>
      </w:tr>
      <w:tr w:rsidR="00AA0255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Ücret</w:t>
            </w:r>
          </w:p>
        </w:tc>
        <w:tc>
          <w:tcPr>
            <w:tcW w:w="540" w:type="dxa"/>
            <w:gridSpan w:val="2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22.</w:t>
            </w:r>
          </w:p>
        </w:tc>
        <w:tc>
          <w:tcPr>
            <w:tcW w:w="630" w:type="dxa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(1)</w:t>
            </w:r>
          </w:p>
        </w:tc>
        <w:tc>
          <w:tcPr>
            <w:tcW w:w="6694" w:type="dxa"/>
            <w:gridSpan w:val="3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Çıraklara ve işletmelerde meslek </w:t>
            </w:r>
            <w:proofErr w:type="gramStart"/>
            <w:r>
              <w:rPr>
                <w:lang w:val="tr-TR"/>
              </w:rPr>
              <w:t>eğitimi  gören</w:t>
            </w:r>
            <w:proofErr w:type="gramEnd"/>
            <w:r>
              <w:rPr>
                <w:lang w:val="tr-TR"/>
              </w:rPr>
              <w:t xml:space="preserve"> öğrencilere ödenen  ücret ve bu ücretlerdeki artışlar, çırağın velisi veya vasisi  veya reşit ise kendisi; öğrenciler için ise,  okul  Müdürlüğü ile işveren arasında Bakanlıkça belirlenen esaslara göre düzenlenecek  sözleşme ile saptanır.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ab/>
              <w:t xml:space="preserve">Ancak çıraklara ve işletmelerde meslek eğitimi gören öğrencilere, Devlette </w:t>
            </w:r>
            <w:proofErr w:type="gramStart"/>
            <w:r>
              <w:rPr>
                <w:lang w:val="tr-TR"/>
              </w:rPr>
              <w:t>uygulanan  cari</w:t>
            </w:r>
            <w:proofErr w:type="gramEnd"/>
            <w:r>
              <w:rPr>
                <w:lang w:val="tr-TR"/>
              </w:rPr>
              <w:t xml:space="preserve"> asgari ücretin yüzde otuzundan daha az ücret ödenemez.</w:t>
            </w:r>
          </w:p>
        </w:tc>
      </w:tr>
      <w:tr w:rsidR="00AA0255" w:rsidTr="00AA0255">
        <w:trPr>
          <w:gridBefore w:val="1"/>
          <w:wBefore w:w="108" w:type="dxa"/>
        </w:trPr>
        <w:tc>
          <w:tcPr>
            <w:tcW w:w="1458" w:type="dxa"/>
            <w:gridSpan w:val="2"/>
          </w:tcPr>
          <w:p w:rsidR="00AA0255" w:rsidRDefault="00AA0255" w:rsidP="00FF6C57">
            <w:pPr>
              <w:rPr>
                <w:lang w:val="tr-TR"/>
              </w:rPr>
            </w:pPr>
          </w:p>
        </w:tc>
        <w:tc>
          <w:tcPr>
            <w:tcW w:w="540" w:type="dxa"/>
            <w:gridSpan w:val="2"/>
          </w:tcPr>
          <w:p w:rsidR="00AA0255" w:rsidRDefault="00AA0255" w:rsidP="00FF6C57">
            <w:pPr>
              <w:rPr>
                <w:lang w:val="tr-TR"/>
              </w:rPr>
            </w:pPr>
          </w:p>
        </w:tc>
        <w:tc>
          <w:tcPr>
            <w:tcW w:w="630" w:type="dxa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(2)</w:t>
            </w:r>
          </w:p>
        </w:tc>
        <w:tc>
          <w:tcPr>
            <w:tcW w:w="6694" w:type="dxa"/>
            <w:gridSpan w:val="3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Çırak ve </w:t>
            </w:r>
            <w:proofErr w:type="gramStart"/>
            <w:r>
              <w:rPr>
                <w:lang w:val="tr-TR"/>
              </w:rPr>
              <w:t>öğrencilere  ödenen</w:t>
            </w:r>
            <w:proofErr w:type="gramEnd"/>
            <w:r>
              <w:rPr>
                <w:lang w:val="tr-TR"/>
              </w:rPr>
              <w:t xml:space="preserve"> ücretler,  her türlü vergiden muaftır.</w:t>
            </w:r>
          </w:p>
          <w:p w:rsidR="00AA0255" w:rsidRDefault="00AA0255" w:rsidP="00FF6C57">
            <w:pPr>
              <w:rPr>
                <w:lang w:val="tr-TR"/>
              </w:rPr>
            </w:pPr>
          </w:p>
        </w:tc>
      </w:tr>
      <w:tr w:rsidR="00AA0255" w:rsidTr="00AA0255">
        <w:trPr>
          <w:gridAfter w:val="1"/>
          <w:wAfter w:w="108" w:type="dxa"/>
        </w:trPr>
        <w:tc>
          <w:tcPr>
            <w:tcW w:w="1458" w:type="dxa"/>
            <w:gridSpan w:val="2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Sosyal Güvenlik</w:t>
            </w:r>
          </w:p>
          <w:p w:rsidR="00AA0255" w:rsidRDefault="00AA0255" w:rsidP="00FF6C5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16/1976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12/1979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  9/1981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43/1982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26/1985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36/1988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14/1990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20/1991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45/1998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22/2001</w:t>
            </w:r>
          </w:p>
        </w:tc>
        <w:tc>
          <w:tcPr>
            <w:tcW w:w="540" w:type="dxa"/>
            <w:gridSpan w:val="2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23.</w:t>
            </w:r>
          </w:p>
        </w:tc>
        <w:tc>
          <w:tcPr>
            <w:tcW w:w="7324" w:type="dxa"/>
            <w:gridSpan w:val="4"/>
          </w:tcPr>
          <w:p w:rsidR="00AA0255" w:rsidRDefault="00AA0255" w:rsidP="00FF6C57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Çıraklara  ve</w:t>
            </w:r>
            <w:proofErr w:type="gramEnd"/>
            <w:r>
              <w:rPr>
                <w:lang w:val="tr-TR"/>
              </w:rPr>
              <w:t xml:space="preserve"> işletmelerde  mesleki eğitim  gören öğrencilere, sözleşmenin akdedilmesi ile, Sosyal Sigortalar   Yasasının iş kazaları ve meslek  hastalıkları ile hastalık ve analık sigortaları kuralları uygulanır. Sosyal Sigorta primleri, Sosyal Sigortalar Yasasının 88 A maddesi gereğince işveren tarafından ödenir.  Çırağa ödenen ücretin prime esas kazanç alt sınırının </w:t>
            </w:r>
            <w:proofErr w:type="gramStart"/>
            <w:r>
              <w:rPr>
                <w:lang w:val="tr-TR"/>
              </w:rPr>
              <w:t>altında  olması</w:t>
            </w:r>
            <w:proofErr w:type="gramEnd"/>
            <w:r>
              <w:rPr>
                <w:lang w:val="tr-TR"/>
              </w:rPr>
              <w:t xml:space="preserve">  halinde çırağın sosyal sigorta primleri,  prime esas  kazanç alt sınırından ödenir.</w:t>
            </w:r>
          </w:p>
          <w:p w:rsidR="00AA0255" w:rsidRDefault="00AA0255" w:rsidP="00FF6C57">
            <w:pPr>
              <w:rPr>
                <w:lang w:val="tr-TR"/>
              </w:rPr>
            </w:pPr>
          </w:p>
        </w:tc>
      </w:tr>
      <w:tr w:rsidR="00AA0255" w:rsidTr="00AA0255">
        <w:trPr>
          <w:gridAfter w:val="1"/>
          <w:wAfter w:w="108" w:type="dxa"/>
        </w:trPr>
        <w:tc>
          <w:tcPr>
            <w:tcW w:w="1458" w:type="dxa"/>
            <w:gridSpan w:val="2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İzin</w:t>
            </w:r>
          </w:p>
        </w:tc>
        <w:tc>
          <w:tcPr>
            <w:tcW w:w="540" w:type="dxa"/>
            <w:gridSpan w:val="2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>24.</w:t>
            </w:r>
          </w:p>
        </w:tc>
        <w:tc>
          <w:tcPr>
            <w:tcW w:w="7324" w:type="dxa"/>
            <w:gridSpan w:val="4"/>
          </w:tcPr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 xml:space="preserve">Çıraklara ve </w:t>
            </w:r>
            <w:proofErr w:type="gramStart"/>
            <w:r>
              <w:rPr>
                <w:lang w:val="tr-TR"/>
              </w:rPr>
              <w:t>işletmelerde  mesleki</w:t>
            </w:r>
            <w:proofErr w:type="gramEnd"/>
            <w:r>
              <w:rPr>
                <w:lang w:val="tr-TR"/>
              </w:rPr>
              <w:t xml:space="preserve">  eğitim gören  öğrencilere, işletmelerce her yıl tatil aylarında çıraklık ve öğrencilik döneminin birinci yılında </w:t>
            </w:r>
            <w:proofErr w:type="spellStart"/>
            <w:r>
              <w:rPr>
                <w:lang w:val="tr-TR"/>
              </w:rPr>
              <w:t>onbeş</w:t>
            </w:r>
            <w:proofErr w:type="spellEnd"/>
            <w:r>
              <w:rPr>
                <w:lang w:val="tr-TR"/>
              </w:rPr>
              <w:t xml:space="preserve"> gün,  ikinci  yılında yirmi gün, üçüncü yılında otuz gün ücretli izin verilir.</w:t>
            </w:r>
          </w:p>
          <w:p w:rsidR="00AA0255" w:rsidRDefault="00AA0255" w:rsidP="00FF6C57">
            <w:pPr>
              <w:rPr>
                <w:lang w:val="tr-TR"/>
              </w:rPr>
            </w:pPr>
            <w:r>
              <w:rPr>
                <w:lang w:val="tr-TR"/>
              </w:rPr>
              <w:tab/>
              <w:t>Ayrıca özürleri kabul edilenlere, okul müdürlüğünün görüşü alınarak, bir aya kadar ücretsiz izin verilebilir.</w:t>
            </w:r>
          </w:p>
          <w:p w:rsidR="00AA0255" w:rsidRDefault="00AA0255" w:rsidP="00FF6C57">
            <w:pPr>
              <w:rPr>
                <w:lang w:val="tr-TR"/>
              </w:rPr>
            </w:pPr>
          </w:p>
        </w:tc>
      </w:tr>
    </w:tbl>
    <w:p w:rsidR="00A06DE6" w:rsidRDefault="00A06DE6" w:rsidP="00B97224"/>
    <w:sectPr w:rsidR="00A0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67"/>
    <w:rsid w:val="004E3937"/>
    <w:rsid w:val="006C2767"/>
    <w:rsid w:val="00766DB0"/>
    <w:rsid w:val="00A06DE6"/>
    <w:rsid w:val="00AA0255"/>
    <w:rsid w:val="00B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E38B"/>
  <w15:chartTrackingRefBased/>
  <w15:docId w15:val="{E2BCDF77-661B-4BA1-BC6D-F5555413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Aytunc Sirket</dc:creator>
  <cp:keywords/>
  <dc:description/>
  <cp:lastModifiedBy>MTOD2</cp:lastModifiedBy>
  <cp:revision>6</cp:revision>
  <dcterms:created xsi:type="dcterms:W3CDTF">2017-05-03T18:56:00Z</dcterms:created>
  <dcterms:modified xsi:type="dcterms:W3CDTF">2019-04-18T06:43:00Z</dcterms:modified>
</cp:coreProperties>
</file>